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0" w:type="dxa"/>
        <w:jc w:val="center"/>
        <w:tblLayout w:type="fixed"/>
        <w:tblLook w:val="0000"/>
      </w:tblPr>
      <w:tblGrid>
        <w:gridCol w:w="1177"/>
        <w:gridCol w:w="3493"/>
        <w:gridCol w:w="6083"/>
        <w:tblGridChange w:id="0">
          <w:tblGrid>
            <w:gridCol w:w="1177"/>
            <w:gridCol w:w="3493"/>
            <w:gridCol w:w="60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-85723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412425" y="3777778"/>
                                <a:ext cx="3867150" cy="4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-85723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4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VALENTINA  LOPEZ TORRES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1.006.048.752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corresponda. Esta labor estará orientada a fortalecer la planeación, el control y la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en las actividades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y su registro en medios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y de gestión como el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Gestión de Contratistas,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SECOP y Drive.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y consolidación de bases de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datos, informes parciales y finales, listados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asistencia y evidencias de seguimiento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generadas durante la gestión del proyecto;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carpetas contractuales, seguimiento de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requerimientos, y presentar dichos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entregables conforme a los lineamientos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asistencia de reuniones del programa, así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como en las actividades técnicas,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operativas y misionales del área de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Fomento en articulación con las demás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2.00 % de las actividades asignadas relacionadas con el desarrollo del objeto contractual..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numPr>
                <w:ilvl w:val="0"/>
                <w:numId w:val="1"/>
              </w:numPr>
              <w:ind w:left="927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informe donde detalló la consolidación, organización y análisis de la</w:t>
            </w:r>
          </w:p>
          <w:p w:rsidR="00000000" w:rsidDel="00000000" w:rsidP="00000000" w:rsidRDefault="00000000" w:rsidRPr="00000000" w14:paraId="0000006A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correspondiente a la gestión desarrollada por la Subsecretaría de Fomento</w:t>
            </w:r>
          </w:p>
          <w:p w:rsidR="00000000" w:rsidDel="00000000" w:rsidP="00000000" w:rsidRDefault="00000000" w:rsidRPr="00000000" w14:paraId="0000006B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desde la gestión como asistencial de apoyo administrativo de los programas y de los</w:t>
            </w:r>
          </w:p>
          <w:p w:rsidR="00000000" w:rsidDel="00000000" w:rsidP="00000000" w:rsidRDefault="00000000" w:rsidRPr="00000000" w14:paraId="0000006C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contratistas de los mismos y con ello garantizó soporte técnico, operativo, administrativo o de</w:t>
            </w:r>
          </w:p>
          <w:p w:rsidR="00000000" w:rsidDel="00000000" w:rsidP="00000000" w:rsidRDefault="00000000" w:rsidRPr="00000000" w14:paraId="0000006D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institucional en cada una de las actividades desarrolladas de forma</w:t>
            </w:r>
          </w:p>
          <w:p w:rsidR="00000000" w:rsidDel="00000000" w:rsidP="00000000" w:rsidRDefault="00000000" w:rsidRPr="00000000" w14:paraId="0000006E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cuantitativa y cualitativa según requerimiento.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las actividades administrativas relacionadas con la gestión</w:t>
            </w:r>
          </w:p>
          <w:p w:rsidR="00000000" w:rsidDel="00000000" w:rsidP="00000000" w:rsidRDefault="00000000" w:rsidRPr="00000000" w14:paraId="00000071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 de la contratación de los prestadores de servicios del área de fomento</w:t>
            </w:r>
          </w:p>
          <w:p w:rsidR="00000000" w:rsidDel="00000000" w:rsidP="00000000" w:rsidRDefault="00000000" w:rsidRPr="00000000" w14:paraId="00000072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asignados realizando recepción, radicación, verificación y seguimiento de los documentos</w:t>
            </w:r>
          </w:p>
          <w:p w:rsidR="00000000" w:rsidDel="00000000" w:rsidP="00000000" w:rsidRDefault="00000000" w:rsidRPr="00000000" w14:paraId="00000073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la elaboración de las carpetas contractuales a través del formato alojado en el drive destinado para ello.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numPr>
                <w:ilvl w:val="0"/>
                <w:numId w:val="1"/>
              </w:numPr>
              <w:ind w:left="927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 mesa de trabajo virtual convocada por la Alcaldía de Santiago de Cali y el área financiera de la Secretaría del Deporte y la Recreación, en la cual se trataron lineamientos y orientaciones sobre el cumplimiento de las obligaciones en materia de seguridad social por parte de los prestadores de servicios.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numPr>
                <w:ilvl w:val="0"/>
                <w:numId w:val="1"/>
              </w:numPr>
              <w:ind w:left="927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282885</wp:posOffset>
                  </wp:positionV>
                  <wp:extent cx="2394585" cy="446405"/>
                  <wp:effectExtent b="0" l="0" r="0" t="0"/>
                  <wp:wrapTopAndBottom distB="0" distT="0"/>
                  <wp:docPr descr="Imagen en blanco y negro  Descripción generada automáticamente con confianza media" id="500315693" name="image1.png"/>
                  <a:graphic>
                    <a:graphicData uri="http://schemas.openxmlformats.org/drawingml/2006/picture">
                      <pic:pic>
                        <pic:nvPicPr>
                          <pic:cNvPr descr="Imagen en blanco y negro  Descripción generada automáticamente con confianza media"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585" cy="4464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10" w:type="default"/>
          <w:footerReference r:id="rId11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A75350"/>
    <w:rPr>
      <w:color w:val="0000ff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ioktT5nlbmMgBRbthDMHa1lZW6U5w4jP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Ph6veV9+28YB78o8MDjtX/vwmA==">CgMxLjA4AHIhMWVybDN6OVpsSFV0anpGMmN3eUZVWnYtTTRjMlJWN29w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